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河北工业大学</w:t>
      </w:r>
      <w:r>
        <w:rPr>
          <w:rFonts w:ascii="方正小标宋简体" w:hAnsi="Calibri" w:eastAsia="方正小标宋简体" w:cs="Times New Roman"/>
          <w:sz w:val="44"/>
          <w:szCs w:val="44"/>
        </w:rPr>
        <w:t>学生出国（境）交流</w:t>
      </w:r>
      <w:r>
        <w:rPr>
          <w:rFonts w:hint="eastAsia" w:ascii="方正小标宋简体" w:hAnsi="Calibri" w:eastAsia="方正小标宋简体" w:cs="Times New Roman"/>
          <w:sz w:val="44"/>
          <w:szCs w:val="44"/>
        </w:rPr>
        <w:t>学习</w:t>
      </w:r>
    </w:p>
    <w:p>
      <w:pPr>
        <w:spacing w:line="360" w:lineRule="auto"/>
        <w:jc w:val="center"/>
        <w:rPr>
          <w:rFonts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资助</w:t>
      </w:r>
      <w:r>
        <w:rPr>
          <w:rFonts w:ascii="方正小标宋简体" w:hAnsi="Calibri" w:eastAsia="方正小标宋简体" w:cs="Times New Roman"/>
          <w:sz w:val="44"/>
          <w:szCs w:val="44"/>
        </w:rPr>
        <w:t>管理办法</w:t>
      </w:r>
    </w:p>
    <w:p>
      <w:pPr>
        <w:pStyle w:val="6"/>
        <w:spacing w:before="0" w:beforeAutospacing="0" w:after="0" w:afterAutospacing="0" w:line="360" w:lineRule="auto"/>
        <w:jc w:val="both"/>
        <w:rPr>
          <w:rFonts w:eastAsia="仿宋_GB2312"/>
          <w:kern w:val="2"/>
          <w:sz w:val="32"/>
          <w:szCs w:val="32"/>
        </w:rPr>
      </w:pP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第一章  总  则</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第一条  为了做好新时代教育对外开放工作，加快推进学校国际化发展进程，服务学校“双一流”建设，学校设立专项经费，鼓励和支持我校学生出国（境）交流学习，提升学校国际化水平。依据国家有关因公临时出国（境）和公派出国留学等管理制度，结合学校实际，特制定本暂行办法。</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第二条  学生出国（境）交流学习经费由国际交流与合作处（以下简称国际处）统筹，根据学校人才培养的国际化目标，向学校提出年度总预算，经学校批准后协调相关部门和学院共同实施与管理。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第三条  本办法所指的出国（境）交流学习包括学生出国（境）参加的各类长短期交流学习项目，包括交流交换项目、联合培养项目、联合教学项目、双学位项目、课程学习、课题研究、学术会议、学术比赛、文化交流等（不包括</w:t>
      </w:r>
      <w:r>
        <w:rPr>
          <w:rFonts w:ascii="仿宋" w:hAnsi="仿宋" w:eastAsia="仿宋" w:cs="仿宋"/>
          <w:kern w:val="2"/>
          <w:sz w:val="32"/>
          <w:szCs w:val="32"/>
        </w:rPr>
        <w:t>中外合作办学项目</w:t>
      </w:r>
      <w:r>
        <w:rPr>
          <w:rFonts w:hint="eastAsia" w:ascii="仿宋" w:hAnsi="仿宋" w:eastAsia="仿宋" w:cs="仿宋"/>
          <w:kern w:val="2"/>
          <w:sz w:val="32"/>
          <w:szCs w:val="32"/>
        </w:rPr>
        <w:t>）。</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第二章  项目管理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第四条  国际处、本科生院（本科生工作部</w:t>
      </w:r>
      <w:bookmarkStart w:id="0" w:name="_GoBack"/>
      <w:bookmarkEnd w:id="0"/>
      <w:r>
        <w:rPr>
          <w:rFonts w:hint="eastAsia" w:ascii="仿宋" w:hAnsi="仿宋" w:eastAsia="仿宋" w:cs="仿宋"/>
          <w:kern w:val="2"/>
          <w:sz w:val="32"/>
          <w:szCs w:val="32"/>
        </w:rPr>
        <w:t>）、研究生院（研究生工作部）为负责交流生管理工作的职能部门。</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第五条  国际处负责学生出国（境）的</w:t>
      </w:r>
      <w:r>
        <w:rPr>
          <w:rFonts w:ascii="仿宋" w:hAnsi="仿宋" w:eastAsia="仿宋" w:cs="仿宋"/>
          <w:kern w:val="2"/>
          <w:sz w:val="32"/>
          <w:szCs w:val="32"/>
        </w:rPr>
        <w:t>管理及</w:t>
      </w:r>
      <w:r>
        <w:rPr>
          <w:rFonts w:hint="eastAsia" w:ascii="仿宋" w:hAnsi="仿宋" w:eastAsia="仿宋" w:cs="仿宋"/>
          <w:kern w:val="2"/>
          <w:sz w:val="32"/>
          <w:szCs w:val="32"/>
        </w:rPr>
        <w:t>经费统筹工作。负责交流项目的谈判和签约事宜，向校内发布项目通知，承担交流项目与合作高校的对外联络和协调工作，同时指导学院及相关职能部门做好校内遴选工作。</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第六条  本科生院（本科生工作部）和研究生院（研究生工作部）分别负责我校本科层次交流生和研究生层次交流生的学分</w:t>
      </w:r>
      <w:r>
        <w:rPr>
          <w:rFonts w:ascii="仿宋" w:hAnsi="仿宋" w:eastAsia="仿宋" w:cs="仿宋"/>
          <w:kern w:val="2"/>
          <w:sz w:val="32"/>
          <w:szCs w:val="32"/>
        </w:rPr>
        <w:t>认定</w:t>
      </w:r>
      <w:r>
        <w:rPr>
          <w:rFonts w:hint="eastAsia" w:ascii="仿宋" w:hAnsi="仿宋" w:eastAsia="仿宋" w:cs="仿宋"/>
          <w:kern w:val="2"/>
          <w:sz w:val="32"/>
          <w:szCs w:val="32"/>
        </w:rPr>
        <w:t>、学籍管理、思想政治教育与学生管理等工作。</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第七条  各学院负责学生出国（境）</w:t>
      </w:r>
      <w:r>
        <w:rPr>
          <w:rFonts w:ascii="仿宋" w:hAnsi="仿宋" w:eastAsia="仿宋" w:cs="仿宋"/>
          <w:kern w:val="2"/>
          <w:sz w:val="32"/>
          <w:szCs w:val="32"/>
        </w:rPr>
        <w:t>的实施</w:t>
      </w:r>
      <w:r>
        <w:rPr>
          <w:rFonts w:hint="eastAsia" w:ascii="仿宋" w:hAnsi="仿宋" w:eastAsia="仿宋" w:cs="仿宋"/>
          <w:kern w:val="2"/>
          <w:sz w:val="32"/>
          <w:szCs w:val="32"/>
        </w:rPr>
        <w:t>工作。负责相关交流项目的校内遴选，并指导学生在交流期间进行选课。其中,校内遴选工作应及时与国际处保持沟通与联系。</w:t>
      </w:r>
    </w:p>
    <w:p>
      <w:pPr>
        <w:autoSpaceDE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第八条  学校鼓励相关部门和学院积极开展国际交流活动，设立更多学生出国（境）交流学习项目，提供经费支持。学院应加大对学生出国（境）交流学习项目的宣传推广，及时发布项目相关信息，动员更多优秀学生参与国际交流。</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第三章  申请条件</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第九条  申请人应符合以下基本条件：</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（一）具有中国国籍的全日制在读学生，包括本科生、硕士研究生和博士研究生；</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（二）热爱祖国，拥护党的领导，诚实守信，在校期间无违法违纪行为；</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（三）学习态度端正，学习成绩优良，成绩绩点排名位于</w:t>
      </w:r>
      <w:r>
        <w:rPr>
          <w:rFonts w:ascii="仿宋" w:hAnsi="仿宋" w:eastAsia="仿宋" w:cs="仿宋"/>
          <w:kern w:val="2"/>
          <w:sz w:val="32"/>
          <w:szCs w:val="32"/>
        </w:rPr>
        <w:t>专业</w:t>
      </w:r>
      <w:r>
        <w:rPr>
          <w:rFonts w:hint="eastAsia" w:ascii="仿宋" w:hAnsi="仿宋" w:eastAsia="仿宋" w:cs="仿宋"/>
          <w:kern w:val="2"/>
          <w:sz w:val="32"/>
          <w:szCs w:val="32"/>
        </w:rPr>
        <w:t>前50%，具有较强的科研与学术能力；</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（四）外语水平符合项目要求；</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（五）获得资助后乐于参与并服务学校国际交流活动及校园国际化建设等工作；</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（六）申请人未享受过国家留学基金委或国（境）外大学/机构等的奖学金资助；</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（七）满足具体项目要求的其他条件。</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第四章  资助类别</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第十条  学生出国（境）交流学习经费主要设立以下奖学金资助类别：</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（一）学生出国（境）短期交流学习奖学金：用于资助学生参加</w:t>
      </w:r>
      <w:r>
        <w:rPr>
          <w:rFonts w:ascii="仿宋" w:hAnsi="仿宋" w:eastAsia="仿宋" w:cs="仿宋"/>
          <w:kern w:val="2"/>
          <w:sz w:val="32"/>
          <w:szCs w:val="32"/>
        </w:rPr>
        <w:t>暑期或寒假的</w:t>
      </w:r>
      <w:r>
        <w:rPr>
          <w:rFonts w:hint="eastAsia" w:ascii="仿宋" w:hAnsi="仿宋" w:eastAsia="仿宋" w:cs="仿宋"/>
          <w:kern w:val="2"/>
          <w:sz w:val="32"/>
          <w:szCs w:val="32"/>
        </w:rPr>
        <w:t>国（境）外短期课程学习项目、学术或文化交流项目、学术赛事等活动；</w:t>
      </w:r>
      <w:r>
        <w:rPr>
          <w:rFonts w:ascii="仿宋" w:hAnsi="仿宋" w:eastAsia="仿宋" w:cs="仿宋"/>
          <w:kern w:val="2"/>
          <w:sz w:val="32"/>
          <w:szCs w:val="32"/>
        </w:rPr>
        <w:t xml:space="preserve"> </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（二）学生出国（境）中期交流学习奖学金：用于资助学生出国（境）参加3个月（含）以上6个月以内的交流交换项目、联合研究或课题研究等学术活动；</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（三）学生出国（境）长期交流学习奖学金：用于资助全日制学生出国（境）参加6个月（含）以上的交流交换项目、联合培养项目、双学位项目等；</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（四）贫困生专项计划：用于全额资助品学兼优且家庭经济困难的学生出国（境）参加交流交换项目或短期学术交流项目等；</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（五）研究生国际学术会议专项基金：主要用于资助优秀的全日制博士研究生、硕士研究生赴国（境）外参加高水平学术会议。</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第五章  资助内容及标准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第十一条  学生出国（境）交流学习奖学金的资助内容原则上为部分资助，学校资助标准上限为：短期交流奖学金1万元/人，中期交流奖学金</w:t>
      </w:r>
      <w:r>
        <w:rPr>
          <w:rFonts w:ascii="仿宋" w:hAnsi="仿宋" w:eastAsia="仿宋" w:cs="仿宋"/>
          <w:kern w:val="2"/>
          <w:sz w:val="32"/>
          <w:szCs w:val="32"/>
        </w:rPr>
        <w:t>2</w:t>
      </w:r>
      <w:r>
        <w:rPr>
          <w:rFonts w:hint="eastAsia" w:ascii="仿宋" w:hAnsi="仿宋" w:eastAsia="仿宋" w:cs="仿宋"/>
          <w:kern w:val="2"/>
          <w:sz w:val="32"/>
          <w:szCs w:val="32"/>
        </w:rPr>
        <w:t>.5万元/人，长期交流奖学金</w:t>
      </w:r>
      <w:r>
        <w:rPr>
          <w:rFonts w:ascii="仿宋" w:hAnsi="仿宋" w:eastAsia="仿宋" w:cs="仿宋"/>
          <w:kern w:val="2"/>
          <w:sz w:val="32"/>
          <w:szCs w:val="32"/>
        </w:rPr>
        <w:t>3</w:t>
      </w:r>
      <w:r>
        <w:rPr>
          <w:rFonts w:hint="eastAsia" w:ascii="仿宋" w:hAnsi="仿宋" w:eastAsia="仿宋" w:cs="仿宋"/>
          <w:kern w:val="2"/>
          <w:sz w:val="32"/>
          <w:szCs w:val="32"/>
        </w:rPr>
        <w:t>.5万元/人。具体资助金额由国际处综合考虑学生在国（境）外大学实际缴纳的学费、学习时长、学习成绩或成果及年度总预算等因素确定。（币种：人民币）</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第十二条  贫困生专项计划：资助内容为学生赴国（境）外交换学习或交流的国际旅费、住宿费、生活费或伙食与公杂补贴、航空及境外保险等费用。具体资助标准根据具体项目类型、时长等因素并参考国家留学基金资助办法和学校有关规定执行。</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第十三条  研究生国际学术会议专项基金的资助范围包括参会的国际旅费、会议注册费、在外期间的住宿费、伙食费及公杂费等。原则上，港澳台地区及亚洲国家国际会议资助金额不超过0.5万元/人，欧美澳及其他地区国际会议资助金额不超过1万元/人，具体资助额度由国际处评议后参考年度总预算等因素最终确定。（币种：人民币）</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第十四条  学校将使用本科生（研究生）奖补经费或其他项目经费资助赴国（境）外交流</w:t>
      </w:r>
      <w:r>
        <w:rPr>
          <w:rFonts w:ascii="仿宋" w:hAnsi="仿宋" w:eastAsia="仿宋" w:cs="仿宋"/>
          <w:kern w:val="2"/>
          <w:sz w:val="32"/>
          <w:szCs w:val="32"/>
        </w:rPr>
        <w:t>学习一学期以上</w:t>
      </w:r>
      <w:r>
        <w:rPr>
          <w:rFonts w:hint="eastAsia" w:ascii="仿宋" w:hAnsi="仿宋" w:eastAsia="仿宋" w:cs="仿宋"/>
          <w:kern w:val="2"/>
          <w:sz w:val="32"/>
          <w:szCs w:val="32"/>
        </w:rPr>
        <w:t>学生的校内学费，境外</w:t>
      </w:r>
      <w:r>
        <w:rPr>
          <w:rFonts w:ascii="仿宋" w:hAnsi="仿宋" w:eastAsia="仿宋" w:cs="仿宋"/>
          <w:kern w:val="2"/>
          <w:sz w:val="32"/>
          <w:szCs w:val="32"/>
        </w:rPr>
        <w:t>学习期间</w:t>
      </w:r>
      <w:r>
        <w:rPr>
          <w:rFonts w:hint="eastAsia" w:ascii="仿宋" w:hAnsi="仿宋" w:eastAsia="仿宋" w:cs="仿宋"/>
          <w:kern w:val="2"/>
          <w:sz w:val="32"/>
          <w:szCs w:val="32"/>
        </w:rPr>
        <w:t>每学期奖励校内学费的80%。免除赴国（境）外学生境外学习</w:t>
      </w:r>
      <w:r>
        <w:rPr>
          <w:rFonts w:ascii="仿宋" w:hAnsi="仿宋" w:eastAsia="仿宋" w:cs="仿宋"/>
          <w:kern w:val="2"/>
          <w:sz w:val="32"/>
          <w:szCs w:val="32"/>
        </w:rPr>
        <w:t>期间</w:t>
      </w:r>
      <w:r>
        <w:rPr>
          <w:rFonts w:hint="eastAsia" w:ascii="仿宋" w:hAnsi="仿宋" w:eastAsia="仿宋" w:cs="仿宋"/>
          <w:kern w:val="2"/>
          <w:sz w:val="32"/>
          <w:szCs w:val="32"/>
        </w:rPr>
        <w:t>的校内住宿费用。</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第六章  申请、评审与资助方式</w:t>
      </w:r>
    </w:p>
    <w:p>
      <w:pPr>
        <w:pStyle w:val="6"/>
        <w:spacing w:before="0" w:beforeAutospacing="0" w:after="0" w:afterAutospacing="0" w:line="360" w:lineRule="auto"/>
        <w:ind w:firstLine="630"/>
        <w:jc w:val="both"/>
        <w:rPr>
          <w:rFonts w:ascii="仿宋" w:hAnsi="仿宋" w:eastAsia="仿宋" w:cs="仿宋"/>
          <w:kern w:val="2"/>
          <w:sz w:val="32"/>
          <w:szCs w:val="32"/>
        </w:rPr>
      </w:pPr>
      <w:r>
        <w:rPr>
          <w:rFonts w:hint="eastAsia" w:ascii="仿宋" w:hAnsi="仿宋" w:eastAsia="仿宋" w:cs="仿宋"/>
          <w:kern w:val="2"/>
          <w:sz w:val="32"/>
          <w:szCs w:val="32"/>
        </w:rPr>
        <w:t>第十五条  学生出国（境）交流项目资助的申请、评审与资助方式：</w:t>
      </w:r>
    </w:p>
    <w:p>
      <w:pPr>
        <w:pStyle w:val="6"/>
        <w:spacing w:before="0" w:beforeAutospacing="0" w:after="0" w:afterAutospacing="0" w:line="360" w:lineRule="auto"/>
        <w:ind w:firstLine="630"/>
        <w:jc w:val="both"/>
        <w:rPr>
          <w:rFonts w:ascii="仿宋" w:hAnsi="仿宋" w:eastAsia="仿宋" w:cs="仿宋"/>
          <w:kern w:val="2"/>
          <w:sz w:val="32"/>
          <w:szCs w:val="32"/>
        </w:rPr>
      </w:pPr>
      <w:r>
        <w:rPr>
          <w:rFonts w:hint="eastAsia" w:ascii="仿宋" w:hAnsi="仿宋" w:eastAsia="仿宋" w:cs="仿宋"/>
          <w:kern w:val="2"/>
          <w:sz w:val="32"/>
          <w:szCs w:val="32"/>
        </w:rPr>
        <w:t>（一）学生出国（境）短期交流学习奖学金：资助申请、评审与项目的申请、遴选工作原则上同时进行。学生按照奖学金申请通知要求提交申请材料至各学院，各学院审核公示无异议后，报国际处确认后，即可获得项目参与和资助资格。项目结束后，以学院为单位提交学生出访报告至国际处，按照相关办法获得资助；</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二）学生出国（境）中长期交流学习奖学金：每学期开展一次申请、评审与发放工作。学生在完成国（境）外交流学习任务或在国（境）外院校学习至少1学期后，按照奖学金申请通知要求提交申请材料至各学院，各学院审核公示无异议后，报国际处确认，按照相关办法获得资助。</w:t>
      </w:r>
    </w:p>
    <w:p>
      <w:pPr>
        <w:pStyle w:val="6"/>
        <w:spacing w:before="0" w:beforeAutospacing="0" w:after="0" w:afterAutospacing="0" w:line="360" w:lineRule="auto"/>
        <w:ind w:firstLine="630"/>
        <w:jc w:val="both"/>
        <w:rPr>
          <w:rFonts w:ascii="仿宋" w:hAnsi="仿宋" w:eastAsia="仿宋" w:cs="仿宋"/>
          <w:kern w:val="2"/>
          <w:sz w:val="32"/>
          <w:szCs w:val="32"/>
        </w:rPr>
      </w:pPr>
      <w:r>
        <w:rPr>
          <w:rFonts w:hint="eastAsia" w:ascii="仿宋" w:hAnsi="仿宋" w:eastAsia="仿宋" w:cs="仿宋"/>
          <w:kern w:val="2"/>
          <w:sz w:val="32"/>
          <w:szCs w:val="32"/>
        </w:rPr>
        <w:t>第十六条  贫困生专项计划由本科生工作部（研究生工作部）制订实施细则。符合条件的学生根据本科生工作部（研究生工作部）发布的通知要求进行申请，报国际处备案，按照相关办法获得资助。</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第十七条  研究生国际学术会议专项基金的申请与评审每学期开展一次，学生根据研究生院和各学院发布的申请通知要求进行申请，各学院按照相关实施办法组织评审，确定拟资助人员名单并公示，无异议后报研究生院审核，国际处备案，按照相关办法获得资助。</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第七章  派出管理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第十八条  在学生派出前，以各学院为主组织开展对学生的行前教育；在学生派出期间，各学院应指派专人对项目学生进行跟踪管理和指导。</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第十九条  项目录取学生须签署《河北工业大学校际交流项目责任书》，如项目要求参加者自己购买保险的必须足额购买保险，并在离校前向国际处提交相关学生管理文件。</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拟派出的学生，在出国（境）前需按照学校学籍管理相关规定办理相关手续。未办完相关手续而擅自离校者，按旷课处理。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第二十条  学生在派出期间，要遵守国家外事纪律，旗帜鲜明地维护国家的尊严和形象；要遵守当地的法律法规和所派至学校（科研机构等）的规章制度，尊重当地的习俗；要保持与学校、家人的联系，定期向学校汇报自己在外的学习生活情况；要将安全牢记于心，注意防范风险，遇到问题及时向学校报告，紧急情况及时向我国驻外使领馆和当地警方求助；不得以任何理由私自转往其他学校学习或第三国（地区）居留。</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学生在派出期间如有违纪或违反学术道德行为的，按照河北</w:t>
      </w:r>
      <w:r>
        <w:rPr>
          <w:rFonts w:ascii="仿宋" w:hAnsi="仿宋" w:eastAsia="仿宋" w:cs="仿宋"/>
          <w:kern w:val="2"/>
          <w:sz w:val="32"/>
          <w:szCs w:val="32"/>
        </w:rPr>
        <w:t>工业大学学生管理</w:t>
      </w:r>
      <w:r>
        <w:rPr>
          <w:rFonts w:hint="eastAsia" w:ascii="仿宋" w:hAnsi="仿宋" w:eastAsia="仿宋" w:cs="仿宋"/>
          <w:kern w:val="2"/>
          <w:sz w:val="32"/>
          <w:szCs w:val="32"/>
        </w:rPr>
        <w:t>的相关规定进行处理。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第二十一条  学生若因故需中途终止在国（境）外的交流学习，须提前向所在学院提出书面申请，并报国际处批准后方可提前返校。未经批准擅自提前回国（境）者，取消其在校期间所有公派出国资格，受国家或学校各类奖学金资助出国（境）的，须退还奖学金。</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第二十二条  派出期满，学生应按时返校并办理返校手续，不得以任何理由私自延长在外停留期限。如有特殊情况不能按时返校的，应提前一个月提出书面申请，所在学院审核同意报学校相关部门批准后，方可延迟返校。擅自逾期不返校者，按照河北</w:t>
      </w:r>
      <w:r>
        <w:rPr>
          <w:rFonts w:ascii="仿宋" w:hAnsi="仿宋" w:eastAsia="仿宋" w:cs="仿宋"/>
          <w:kern w:val="2"/>
          <w:sz w:val="32"/>
          <w:szCs w:val="32"/>
        </w:rPr>
        <w:t>工业大学学生管理</w:t>
      </w:r>
      <w:r>
        <w:rPr>
          <w:rFonts w:hint="eastAsia" w:ascii="仿宋" w:hAnsi="仿宋" w:eastAsia="仿宋" w:cs="仿宋"/>
          <w:kern w:val="2"/>
          <w:sz w:val="32"/>
          <w:szCs w:val="32"/>
        </w:rPr>
        <w:t>的相关规定进行处理。。</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第八章  课程认</w:t>
      </w:r>
      <w:r>
        <w:rPr>
          <w:rFonts w:ascii="仿宋" w:hAnsi="仿宋" w:eastAsia="仿宋" w:cs="仿宋"/>
          <w:kern w:val="2"/>
          <w:sz w:val="32"/>
          <w:szCs w:val="32"/>
        </w:rPr>
        <w:t>定</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第二十三条  课程认定，由学生所在学院负责认定，并报本科生院或研究生院审核，遵循以下原则：</w:t>
      </w:r>
    </w:p>
    <w:p>
      <w:pPr>
        <w:pStyle w:val="6"/>
        <w:numPr>
          <w:ilvl w:val="0"/>
          <w:numId w:val="1"/>
        </w:numPr>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学生</w:t>
      </w:r>
      <w:r>
        <w:rPr>
          <w:rFonts w:ascii="仿宋" w:hAnsi="仿宋" w:eastAsia="仿宋" w:cs="仿宋"/>
          <w:kern w:val="2"/>
          <w:sz w:val="32"/>
          <w:szCs w:val="32"/>
        </w:rPr>
        <w:t>出国（境）交流学习期间应参照我校的培养计划进行选课</w:t>
      </w:r>
      <w:r>
        <w:rPr>
          <w:rFonts w:hint="eastAsia" w:ascii="仿宋" w:hAnsi="仿宋" w:eastAsia="仿宋" w:cs="仿宋"/>
          <w:kern w:val="2"/>
          <w:sz w:val="32"/>
          <w:szCs w:val="32"/>
        </w:rPr>
        <w:t>；</w:t>
      </w:r>
    </w:p>
    <w:p>
      <w:pPr>
        <w:pStyle w:val="6"/>
        <w:numPr>
          <w:ilvl w:val="0"/>
          <w:numId w:val="1"/>
        </w:numPr>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课程可按照“一对一”、“多对一”或“一对多”进行认定；</w:t>
      </w:r>
    </w:p>
    <w:p>
      <w:pPr>
        <w:pStyle w:val="6"/>
        <w:numPr>
          <w:ilvl w:val="0"/>
          <w:numId w:val="1"/>
        </w:numPr>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学生出国（境）前，</w:t>
      </w:r>
      <w:r>
        <w:rPr>
          <w:rFonts w:ascii="仿宋" w:hAnsi="仿宋" w:eastAsia="仿宋" w:cs="仿宋"/>
          <w:kern w:val="2"/>
          <w:sz w:val="32"/>
          <w:szCs w:val="32"/>
        </w:rPr>
        <w:t>由所在专业</w:t>
      </w:r>
      <w:r>
        <w:rPr>
          <w:rFonts w:hint="eastAsia" w:ascii="仿宋" w:hAnsi="仿宋" w:eastAsia="仿宋" w:cs="仿宋"/>
          <w:kern w:val="2"/>
          <w:sz w:val="32"/>
          <w:szCs w:val="32"/>
        </w:rPr>
        <w:t>教师</w:t>
      </w:r>
      <w:r>
        <w:rPr>
          <w:rFonts w:ascii="仿宋" w:hAnsi="仿宋" w:eastAsia="仿宋" w:cs="仿宋"/>
          <w:kern w:val="2"/>
          <w:sz w:val="32"/>
          <w:szCs w:val="32"/>
        </w:rPr>
        <w:t>指导其确定在交流学校拟选修课程，填写《</w:t>
      </w:r>
      <w:r>
        <w:rPr>
          <w:rFonts w:hint="eastAsia" w:ascii="仿宋" w:hAnsi="仿宋" w:eastAsia="仿宋" w:cs="仿宋"/>
          <w:kern w:val="2"/>
          <w:sz w:val="32"/>
          <w:szCs w:val="32"/>
        </w:rPr>
        <w:t>河北工业</w:t>
      </w:r>
      <w:r>
        <w:rPr>
          <w:rFonts w:ascii="仿宋" w:hAnsi="仿宋" w:eastAsia="仿宋" w:cs="仿宋"/>
          <w:kern w:val="2"/>
          <w:sz w:val="32"/>
          <w:szCs w:val="32"/>
        </w:rPr>
        <w:t>大学</w:t>
      </w:r>
      <w:r>
        <w:rPr>
          <w:rFonts w:hint="eastAsia" w:ascii="仿宋" w:hAnsi="仿宋" w:eastAsia="仿宋" w:cs="仿宋"/>
          <w:kern w:val="2"/>
          <w:sz w:val="32"/>
          <w:szCs w:val="32"/>
        </w:rPr>
        <w:t>学</w:t>
      </w:r>
      <w:r>
        <w:rPr>
          <w:rFonts w:ascii="仿宋" w:hAnsi="仿宋" w:eastAsia="仿宋" w:cs="仿宋"/>
          <w:kern w:val="2"/>
          <w:sz w:val="32"/>
          <w:szCs w:val="32"/>
        </w:rPr>
        <w:t>生出国（境）交流学习</w:t>
      </w:r>
      <w:r>
        <w:rPr>
          <w:rFonts w:hint="eastAsia" w:ascii="仿宋" w:hAnsi="仿宋" w:eastAsia="仿宋" w:cs="仿宋"/>
          <w:kern w:val="2"/>
          <w:sz w:val="32"/>
          <w:szCs w:val="32"/>
        </w:rPr>
        <w:t>课程认定</w:t>
      </w:r>
      <w:r>
        <w:rPr>
          <w:rFonts w:ascii="仿宋" w:hAnsi="仿宋" w:eastAsia="仿宋" w:cs="仿宋"/>
          <w:kern w:val="2"/>
          <w:sz w:val="32"/>
          <w:szCs w:val="32"/>
        </w:rPr>
        <w:t>表》</w:t>
      </w:r>
      <w:r>
        <w:rPr>
          <w:rFonts w:hint="eastAsia" w:ascii="仿宋" w:hAnsi="仿宋" w:eastAsia="仿宋" w:cs="仿宋"/>
          <w:kern w:val="2"/>
          <w:sz w:val="32"/>
          <w:szCs w:val="32"/>
        </w:rPr>
        <w:t>,由</w:t>
      </w:r>
      <w:r>
        <w:rPr>
          <w:rFonts w:ascii="仿宋" w:hAnsi="仿宋" w:eastAsia="仿宋" w:cs="仿宋"/>
          <w:kern w:val="2"/>
          <w:sz w:val="32"/>
          <w:szCs w:val="32"/>
        </w:rPr>
        <w:t>本科生院</w:t>
      </w:r>
      <w:r>
        <w:rPr>
          <w:rFonts w:hint="eastAsia" w:ascii="仿宋" w:hAnsi="仿宋" w:eastAsia="仿宋" w:cs="仿宋"/>
          <w:kern w:val="2"/>
          <w:sz w:val="32"/>
          <w:szCs w:val="32"/>
        </w:rPr>
        <w:t>或研究生院</w:t>
      </w:r>
      <w:r>
        <w:rPr>
          <w:rFonts w:ascii="仿宋" w:hAnsi="仿宋" w:eastAsia="仿宋" w:cs="仿宋"/>
          <w:kern w:val="2"/>
          <w:sz w:val="32"/>
          <w:szCs w:val="32"/>
        </w:rPr>
        <w:t>签字</w:t>
      </w:r>
      <w:r>
        <w:rPr>
          <w:rFonts w:hint="eastAsia" w:ascii="仿宋" w:hAnsi="仿宋" w:eastAsia="仿宋" w:cs="仿宋"/>
          <w:kern w:val="2"/>
          <w:sz w:val="32"/>
          <w:szCs w:val="32"/>
        </w:rPr>
        <w:t>；</w:t>
      </w:r>
    </w:p>
    <w:p>
      <w:pPr>
        <w:pStyle w:val="6"/>
        <w:numPr>
          <w:ilvl w:val="0"/>
          <w:numId w:val="1"/>
        </w:numPr>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赴国（境）外交流学习的学生应于返校后一个月内办理成绩认定手续。</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第二十四条  认定课程成绩换算规则：</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（一）成绩为百分制（或等级制能提供百分制成绩证明）则按原成绩录入，百分比则按对应的比值录入；</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（二）成绩以“A、B、C.....”等级形式登录，则根据下表中成绩等级与百分制成绩的对应关系，转换成相应的百分制成绩；</w:t>
      </w:r>
    </w:p>
    <w:tbl>
      <w:tblPr>
        <w:tblStyle w:val="7"/>
        <w:tblW w:w="849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5" w:type="dxa"/>
          <w:bottom w:w="0" w:type="dxa"/>
          <w:right w:w="105" w:type="dxa"/>
        </w:tblCellMar>
      </w:tblPr>
      <w:tblGrid>
        <w:gridCol w:w="1650"/>
        <w:gridCol w:w="570"/>
        <w:gridCol w:w="570"/>
        <w:gridCol w:w="570"/>
        <w:gridCol w:w="570"/>
        <w:gridCol w:w="570"/>
        <w:gridCol w:w="570"/>
        <w:gridCol w:w="570"/>
        <w:gridCol w:w="570"/>
        <w:gridCol w:w="570"/>
        <w:gridCol w:w="570"/>
        <w:gridCol w:w="570"/>
        <w:gridCol w:w="5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5" w:type="dxa"/>
            <w:bottom w:w="0" w:type="dxa"/>
            <w:right w:w="105" w:type="dxa"/>
          </w:tblCellMar>
        </w:tblPrEx>
        <w:trPr>
          <w:trHeight w:val="555" w:hRule="atLeast"/>
          <w:jc w:val="center"/>
        </w:trPr>
        <w:tc>
          <w:tcPr>
            <w:tcW w:w="165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成绩等级</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A+</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A</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A-</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B+</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B</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B-</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C+</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C</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C-</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D+</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D</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F</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5" w:type="dxa"/>
            <w:bottom w:w="0" w:type="dxa"/>
            <w:right w:w="105" w:type="dxa"/>
          </w:tblCellMar>
        </w:tblPrEx>
        <w:trPr>
          <w:trHeight w:val="570" w:hRule="atLeast"/>
          <w:jc w:val="center"/>
        </w:trPr>
        <w:tc>
          <w:tcPr>
            <w:tcW w:w="165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百分制成绩</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98</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95</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92</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88</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85</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82</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78</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75</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72</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68</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65</w:t>
            </w:r>
          </w:p>
        </w:tc>
        <w:tc>
          <w:tcPr>
            <w:tcW w:w="570" w:type="dxa"/>
            <w:tcBorders>
              <w:top w:val="single" w:color="000000" w:sz="6" w:space="0"/>
              <w:left w:val="single" w:color="000000" w:sz="6" w:space="0"/>
              <w:bottom w:val="single" w:color="000000" w:sz="6" w:space="0"/>
              <w:right w:val="single" w:color="000000" w:sz="6" w:space="0"/>
            </w:tcBorders>
            <w:shd w:val="clear" w:color="auto" w:fill="auto"/>
          </w:tcPr>
          <w:p>
            <w:pPr>
              <w:pStyle w:val="6"/>
              <w:spacing w:before="0" w:beforeAutospacing="0" w:after="0" w:afterAutospacing="0" w:line="360" w:lineRule="auto"/>
              <w:jc w:val="center"/>
            </w:pPr>
            <w:r>
              <w:rPr>
                <w:rFonts w:hint="eastAsia" w:ascii="宋体" w:hAnsi="宋体" w:eastAsia="宋体" w:cs="仿宋"/>
                <w:sz w:val="21"/>
                <w:szCs w:val="21"/>
              </w:rPr>
              <w:t>50</w:t>
            </w:r>
          </w:p>
        </w:tc>
      </w:tr>
    </w:tbl>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（三）成绩以“优（秀）、良（好）、中（等）、及格、不及格”的形式登录，则分别转换为“95、85、75、65、50”分；</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（四）若有其他计分形式，由学生所在学院提出认定标准，报本科生院或研究生院审核通过后执行。</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 xml:space="preserve">第二十五条 </w:t>
      </w:r>
      <w:r>
        <w:rPr>
          <w:rFonts w:ascii="仿宋" w:hAnsi="仿宋" w:eastAsia="仿宋" w:cs="仿宋"/>
          <w:kern w:val="2"/>
          <w:sz w:val="32"/>
          <w:szCs w:val="32"/>
        </w:rPr>
        <w:t xml:space="preserve"> 其他认证方式：赴国（境）外交流交换学习一学期以上的学生，经学校审核</w:t>
      </w:r>
      <w:r>
        <w:rPr>
          <w:rFonts w:hint="eastAsia" w:ascii="仿宋" w:hAnsi="仿宋" w:eastAsia="仿宋" w:cs="仿宋"/>
          <w:kern w:val="2"/>
          <w:sz w:val="32"/>
          <w:szCs w:val="32"/>
        </w:rPr>
        <w:t>后可</w:t>
      </w:r>
      <w:r>
        <w:rPr>
          <w:rFonts w:ascii="仿宋" w:hAnsi="仿宋" w:eastAsia="仿宋" w:cs="仿宋"/>
          <w:kern w:val="2"/>
          <w:sz w:val="32"/>
          <w:szCs w:val="32"/>
        </w:rPr>
        <w:t>原则上可</w:t>
      </w:r>
      <w:r>
        <w:rPr>
          <w:rFonts w:hint="eastAsia" w:ascii="仿宋" w:hAnsi="仿宋" w:eastAsia="仿宋" w:cs="仿宋"/>
          <w:kern w:val="2"/>
          <w:sz w:val="32"/>
          <w:szCs w:val="32"/>
        </w:rPr>
        <w:t>认证其在</w:t>
      </w:r>
      <w:r>
        <w:rPr>
          <w:rFonts w:ascii="仿宋" w:hAnsi="仿宋" w:eastAsia="仿宋" w:cs="仿宋"/>
          <w:kern w:val="2"/>
          <w:sz w:val="32"/>
          <w:szCs w:val="32"/>
        </w:rPr>
        <w:t>国（境）外学习期间</w:t>
      </w:r>
      <w:r>
        <w:rPr>
          <w:rFonts w:hint="eastAsia" w:ascii="仿宋" w:hAnsi="仿宋" w:eastAsia="仿宋" w:cs="仿宋"/>
          <w:kern w:val="2"/>
          <w:sz w:val="32"/>
          <w:szCs w:val="32"/>
        </w:rPr>
        <w:t>取得学分</w:t>
      </w:r>
      <w:r>
        <w:rPr>
          <w:rFonts w:ascii="仿宋" w:hAnsi="仿宋" w:eastAsia="仿宋" w:cs="仿宋"/>
          <w:kern w:val="2"/>
          <w:sz w:val="32"/>
          <w:szCs w:val="32"/>
        </w:rPr>
        <w:t>的</w:t>
      </w:r>
      <w:r>
        <w:rPr>
          <w:rFonts w:hint="eastAsia" w:ascii="仿宋" w:hAnsi="仿宋" w:eastAsia="仿宋" w:cs="仿宋"/>
          <w:kern w:val="2"/>
          <w:sz w:val="32"/>
          <w:szCs w:val="32"/>
        </w:rPr>
        <w:t>全部</w:t>
      </w:r>
      <w:r>
        <w:rPr>
          <w:rFonts w:ascii="仿宋" w:hAnsi="仿宋" w:eastAsia="仿宋" w:cs="仿宋"/>
          <w:kern w:val="2"/>
          <w:sz w:val="32"/>
          <w:szCs w:val="32"/>
        </w:rPr>
        <w:t>课程</w:t>
      </w:r>
      <w:r>
        <w:rPr>
          <w:rFonts w:hint="eastAsia" w:ascii="仿宋" w:hAnsi="仿宋" w:eastAsia="仿宋" w:cs="仿宋"/>
          <w:kern w:val="2"/>
          <w:sz w:val="32"/>
          <w:szCs w:val="32"/>
        </w:rPr>
        <w:t>，</w:t>
      </w:r>
      <w:r>
        <w:rPr>
          <w:rFonts w:ascii="仿宋" w:hAnsi="仿宋" w:eastAsia="仿宋" w:cs="仿宋"/>
          <w:kern w:val="2"/>
          <w:sz w:val="32"/>
          <w:szCs w:val="32"/>
        </w:rPr>
        <w:t>其所修课程校内未</w:t>
      </w:r>
      <w:r>
        <w:rPr>
          <w:rFonts w:hint="eastAsia" w:ascii="仿宋" w:hAnsi="仿宋" w:eastAsia="仿宋" w:cs="仿宋"/>
          <w:kern w:val="2"/>
          <w:sz w:val="32"/>
          <w:szCs w:val="32"/>
        </w:rPr>
        <w:t>开设</w:t>
      </w:r>
      <w:r>
        <w:rPr>
          <w:rFonts w:ascii="仿宋" w:hAnsi="仿宋" w:eastAsia="仿宋" w:cs="仿宋"/>
          <w:kern w:val="2"/>
          <w:sz w:val="32"/>
          <w:szCs w:val="32"/>
        </w:rPr>
        <w:t>的，认定为任选课。</w:t>
      </w:r>
    </w:p>
    <w:p>
      <w:pPr>
        <w:pStyle w:val="6"/>
        <w:spacing w:before="0" w:beforeAutospacing="0" w:after="0" w:afterAutospacing="0" w:line="360" w:lineRule="auto"/>
        <w:jc w:val="center"/>
        <w:rPr>
          <w:rFonts w:ascii="仿宋" w:hAnsi="仿宋" w:eastAsia="仿宋" w:cs="仿宋"/>
          <w:kern w:val="2"/>
          <w:sz w:val="32"/>
          <w:szCs w:val="32"/>
        </w:rPr>
      </w:pPr>
      <w:r>
        <w:rPr>
          <w:rFonts w:hint="eastAsia" w:ascii="仿宋" w:hAnsi="仿宋" w:eastAsia="仿宋" w:cs="仿宋"/>
          <w:kern w:val="2"/>
          <w:sz w:val="32"/>
          <w:szCs w:val="32"/>
        </w:rPr>
        <w:t>第九章  附  则</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第二十六条  国际处负责统筹学生出国（境）交流学习经费的绩效评估，并在此基础上结合下一年度学生国际化的发展目标向学校申报下一年度总预算。各学院和相关部门负责本单位实施的学生出国（境）交流学习经费的绩效评估，并根据实际工作需要拟订下一年度计划，报国际处汇总。</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第二十七条  各学院和相关部门结合本学院和部门实际情况，参照本办法制定详细的实施细则。</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第二十八条  本办法未尽事宜，可参照相应条款报学校批准后执行。</w:t>
      </w:r>
    </w:p>
    <w:p>
      <w:pPr>
        <w:pStyle w:val="6"/>
        <w:spacing w:before="0" w:beforeAutospacing="0" w:after="0" w:afterAutospacing="0" w:line="360" w:lineRule="auto"/>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第二十九条  本办法由国际处、本科生院（本科生工作部）、研究生院（研究生工作部）负责解释，自发布之日起施行。此前发布的相关办法中与本办法不一致的规定按照本办法的规定执行。</w:t>
      </w:r>
    </w:p>
    <w:p>
      <w:pPr>
        <w:spacing w:before="0" w:line="360" w:lineRule="auto"/>
        <w:ind w:right="0" w:firstLine="0" w:firstLineChars="0"/>
        <w:rPr>
          <w:rFonts w:ascii="仿宋" w:hAnsi="仿宋" w:eastAsia="仿宋" w:cs="仿宋"/>
          <w:sz w:val="32"/>
          <w:szCs w:val="32"/>
        </w:rPr>
      </w:pPr>
    </w:p>
    <w:sectPr>
      <w:foot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rPr>
      <w:id w:val="564155621"/>
    </w:sdtPr>
    <w:sdtEndPr>
      <w:rPr>
        <w:rFonts w:hint="eastAsia" w:ascii="宋体" w:hAnsi="宋体" w:eastAsia="宋体" w:cs="宋体"/>
      </w:rPr>
    </w:sdtEndPr>
    <w:sdtContent>
      <w:sdt>
        <w:sdtPr>
          <w:rPr>
            <w:rFonts w:hint="eastAsia" w:ascii="宋体" w:hAnsi="宋体" w:eastAsia="宋体" w:cs="宋体"/>
          </w:rPr>
          <w:id w:val="1728636285"/>
        </w:sdtPr>
        <w:sdtEndPr>
          <w:rPr>
            <w:rFonts w:hint="eastAsia" w:ascii="宋体" w:hAnsi="宋体" w:eastAsia="宋体" w:cs="宋体"/>
          </w:rPr>
        </w:sdtEndPr>
        <w:sdtContent>
          <w:p>
            <w:pPr>
              <w:pStyle w:val="4"/>
              <w:jc w:val="center"/>
            </w:pPr>
            <w:r>
              <w:rPr>
                <w:rFonts w:hint="eastAsia" w:ascii="宋体" w:hAnsi="宋体" w:eastAsia="宋体" w:cs="宋体"/>
                <w:b/>
                <w:bCs/>
                <w:sz w:val="24"/>
                <w:szCs w:val="24"/>
              </w:rPr>
              <w:fldChar w:fldCharType="begin"/>
            </w:r>
            <w:r>
              <w:rPr>
                <w:rFonts w:hint="eastAsia" w:ascii="宋体" w:hAnsi="宋体" w:eastAsia="宋体" w:cs="宋体"/>
                <w:b/>
                <w:bCs/>
              </w:rPr>
              <w:instrText xml:space="preserve">PAGE</w:instrText>
            </w:r>
            <w:r>
              <w:rPr>
                <w:rFonts w:hint="eastAsia" w:ascii="宋体" w:hAnsi="宋体" w:eastAsia="宋体" w:cs="宋体"/>
                <w:b/>
                <w:bCs/>
                <w:sz w:val="24"/>
                <w:szCs w:val="24"/>
              </w:rPr>
              <w:fldChar w:fldCharType="separate"/>
            </w:r>
            <w:r>
              <w:rPr>
                <w:rFonts w:ascii="宋体" w:hAnsi="宋体" w:eastAsia="宋体" w:cs="宋体"/>
                <w:b/>
                <w:bCs/>
              </w:rPr>
              <w:t>8</w:t>
            </w:r>
            <w:r>
              <w:rPr>
                <w:rFonts w:hint="eastAsia" w:ascii="宋体" w:hAnsi="宋体" w:eastAsia="宋体" w:cs="宋体"/>
                <w:b/>
                <w:bCs/>
                <w:sz w:val="24"/>
                <w:szCs w:val="24"/>
              </w:rPr>
              <w:fldChar w:fldCharType="end"/>
            </w:r>
            <w:r>
              <w:rPr>
                <w:rFonts w:hint="eastAsia" w:ascii="宋体" w:hAnsi="宋体" w:eastAsia="宋体" w:cs="宋体"/>
                <w:lang w:val="zh-CN"/>
              </w:rPr>
              <w:t xml:space="preserve"> / </w:t>
            </w:r>
            <w:r>
              <w:rPr>
                <w:rFonts w:hint="eastAsia" w:ascii="宋体" w:hAnsi="宋体" w:eastAsia="宋体" w:cs="宋体"/>
                <w:b/>
                <w:bCs/>
                <w:sz w:val="24"/>
                <w:szCs w:val="24"/>
              </w:rPr>
              <w:fldChar w:fldCharType="begin"/>
            </w:r>
            <w:r>
              <w:rPr>
                <w:rFonts w:hint="eastAsia" w:ascii="宋体" w:hAnsi="宋体" w:eastAsia="宋体" w:cs="宋体"/>
                <w:b/>
                <w:bCs/>
              </w:rPr>
              <w:instrText xml:space="preserve">NUMPAGES</w:instrText>
            </w:r>
            <w:r>
              <w:rPr>
                <w:rFonts w:hint="eastAsia" w:ascii="宋体" w:hAnsi="宋体" w:eastAsia="宋体" w:cs="宋体"/>
                <w:b/>
                <w:bCs/>
                <w:sz w:val="24"/>
                <w:szCs w:val="24"/>
              </w:rPr>
              <w:fldChar w:fldCharType="separate"/>
            </w:r>
            <w:r>
              <w:rPr>
                <w:rFonts w:ascii="宋体" w:hAnsi="宋体" w:eastAsia="宋体" w:cs="宋体"/>
                <w:b/>
                <w:bCs/>
              </w:rPr>
              <w:t>9</w:t>
            </w:r>
            <w:r>
              <w:rPr>
                <w:rFonts w:hint="eastAsia" w:ascii="宋体" w:hAnsi="宋体" w:eastAsia="宋体" w:cs="宋体"/>
                <w:b/>
                <w:bCs/>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B03EE"/>
    <w:multiLevelType w:val="singleLevel"/>
    <w:tmpl w:val="66DB03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val="1"/>
  <w:bordersDoNotSurroundFooter w:val="1"/>
  <w:trackRevisions w:val="1"/>
  <w:documentProtection w:enforcement="0"/>
  <w:defaultTabStop w:val="420"/>
  <w:drawingGridVerticalSpacing w:val="20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FE9"/>
    <w:rsid w:val="00023680"/>
    <w:rsid w:val="00024934"/>
    <w:rsid w:val="00063AE7"/>
    <w:rsid w:val="000776D7"/>
    <w:rsid w:val="0009101C"/>
    <w:rsid w:val="000D1200"/>
    <w:rsid w:val="000F2000"/>
    <w:rsid w:val="00165A3B"/>
    <w:rsid w:val="00167229"/>
    <w:rsid w:val="001C2C15"/>
    <w:rsid w:val="001C46B3"/>
    <w:rsid w:val="001D79CF"/>
    <w:rsid w:val="001E47A5"/>
    <w:rsid w:val="001F618A"/>
    <w:rsid w:val="00242D27"/>
    <w:rsid w:val="00276B0E"/>
    <w:rsid w:val="00287236"/>
    <w:rsid w:val="002A705C"/>
    <w:rsid w:val="002C662D"/>
    <w:rsid w:val="002D220D"/>
    <w:rsid w:val="002D6EF1"/>
    <w:rsid w:val="002F4FE9"/>
    <w:rsid w:val="002F593F"/>
    <w:rsid w:val="002F5F47"/>
    <w:rsid w:val="00305AA1"/>
    <w:rsid w:val="003165D5"/>
    <w:rsid w:val="0032590F"/>
    <w:rsid w:val="00340632"/>
    <w:rsid w:val="0038133A"/>
    <w:rsid w:val="003E1D2B"/>
    <w:rsid w:val="003E24F9"/>
    <w:rsid w:val="004473C5"/>
    <w:rsid w:val="004571C5"/>
    <w:rsid w:val="00472EB1"/>
    <w:rsid w:val="004B6DCC"/>
    <w:rsid w:val="004C24A3"/>
    <w:rsid w:val="004D3842"/>
    <w:rsid w:val="004D423F"/>
    <w:rsid w:val="005A171B"/>
    <w:rsid w:val="00614801"/>
    <w:rsid w:val="006264B7"/>
    <w:rsid w:val="006B0AC6"/>
    <w:rsid w:val="006B3521"/>
    <w:rsid w:val="006B48AB"/>
    <w:rsid w:val="006E0BA6"/>
    <w:rsid w:val="006E2D92"/>
    <w:rsid w:val="00712341"/>
    <w:rsid w:val="00726C23"/>
    <w:rsid w:val="00732BF4"/>
    <w:rsid w:val="00746BA9"/>
    <w:rsid w:val="00767EC3"/>
    <w:rsid w:val="00797713"/>
    <w:rsid w:val="007D2DA1"/>
    <w:rsid w:val="007D5616"/>
    <w:rsid w:val="00813A23"/>
    <w:rsid w:val="008278AC"/>
    <w:rsid w:val="0083748A"/>
    <w:rsid w:val="00871EAC"/>
    <w:rsid w:val="0088680A"/>
    <w:rsid w:val="009170A4"/>
    <w:rsid w:val="00962A36"/>
    <w:rsid w:val="009702DB"/>
    <w:rsid w:val="0098056E"/>
    <w:rsid w:val="009C1912"/>
    <w:rsid w:val="00A16934"/>
    <w:rsid w:val="00A3523C"/>
    <w:rsid w:val="00A90BA5"/>
    <w:rsid w:val="00AF3A30"/>
    <w:rsid w:val="00AF4941"/>
    <w:rsid w:val="00B07795"/>
    <w:rsid w:val="00B36E87"/>
    <w:rsid w:val="00B4223C"/>
    <w:rsid w:val="00B51061"/>
    <w:rsid w:val="00B644A6"/>
    <w:rsid w:val="00B81F39"/>
    <w:rsid w:val="00B849F1"/>
    <w:rsid w:val="00BA1CCC"/>
    <w:rsid w:val="00BA6CC2"/>
    <w:rsid w:val="00BC56F1"/>
    <w:rsid w:val="00C250DD"/>
    <w:rsid w:val="00C346BD"/>
    <w:rsid w:val="00C46E6C"/>
    <w:rsid w:val="00C64F61"/>
    <w:rsid w:val="00C653BE"/>
    <w:rsid w:val="00CB7F13"/>
    <w:rsid w:val="00CC72A7"/>
    <w:rsid w:val="00CD1DBA"/>
    <w:rsid w:val="00D05C73"/>
    <w:rsid w:val="00D15867"/>
    <w:rsid w:val="00D51D34"/>
    <w:rsid w:val="00D8059F"/>
    <w:rsid w:val="00DD12BC"/>
    <w:rsid w:val="00DF6BCB"/>
    <w:rsid w:val="00E53D46"/>
    <w:rsid w:val="00E84C06"/>
    <w:rsid w:val="00E85ADC"/>
    <w:rsid w:val="00EA45A7"/>
    <w:rsid w:val="00EA7F22"/>
    <w:rsid w:val="00EB69D9"/>
    <w:rsid w:val="00F12B56"/>
    <w:rsid w:val="00F352EB"/>
    <w:rsid w:val="00F5191F"/>
    <w:rsid w:val="00F56C88"/>
    <w:rsid w:val="00FD0CBC"/>
    <w:rsid w:val="00FD49CA"/>
    <w:rsid w:val="022E406C"/>
    <w:rsid w:val="02DD009B"/>
    <w:rsid w:val="0469228A"/>
    <w:rsid w:val="04C41014"/>
    <w:rsid w:val="08E95C55"/>
    <w:rsid w:val="0A4E08C1"/>
    <w:rsid w:val="0BA93847"/>
    <w:rsid w:val="0CCC627D"/>
    <w:rsid w:val="1392325C"/>
    <w:rsid w:val="14CC0EB2"/>
    <w:rsid w:val="16BA3CE1"/>
    <w:rsid w:val="1A3E2649"/>
    <w:rsid w:val="1AD04E33"/>
    <w:rsid w:val="1C003357"/>
    <w:rsid w:val="1ED81742"/>
    <w:rsid w:val="1EDB1CFF"/>
    <w:rsid w:val="20C02D4A"/>
    <w:rsid w:val="20E10901"/>
    <w:rsid w:val="226D622F"/>
    <w:rsid w:val="22882FA1"/>
    <w:rsid w:val="24C527FC"/>
    <w:rsid w:val="276E6425"/>
    <w:rsid w:val="29A554E5"/>
    <w:rsid w:val="2B7357DF"/>
    <w:rsid w:val="2BD527D0"/>
    <w:rsid w:val="2CB72377"/>
    <w:rsid w:val="2D3E66D1"/>
    <w:rsid w:val="2DA75F33"/>
    <w:rsid w:val="2E161956"/>
    <w:rsid w:val="30710A49"/>
    <w:rsid w:val="326354F5"/>
    <w:rsid w:val="35846DBD"/>
    <w:rsid w:val="371E5959"/>
    <w:rsid w:val="387F4D63"/>
    <w:rsid w:val="38C9632D"/>
    <w:rsid w:val="38EB7B5B"/>
    <w:rsid w:val="3B6076A0"/>
    <w:rsid w:val="3BAA04E6"/>
    <w:rsid w:val="3D903A44"/>
    <w:rsid w:val="3EBF0C56"/>
    <w:rsid w:val="41DF33B7"/>
    <w:rsid w:val="442F7B39"/>
    <w:rsid w:val="447A5359"/>
    <w:rsid w:val="4596545D"/>
    <w:rsid w:val="464E6DEB"/>
    <w:rsid w:val="46A720B5"/>
    <w:rsid w:val="476F6921"/>
    <w:rsid w:val="497B0D58"/>
    <w:rsid w:val="49EF2733"/>
    <w:rsid w:val="4A944976"/>
    <w:rsid w:val="51847959"/>
    <w:rsid w:val="57355245"/>
    <w:rsid w:val="57747465"/>
    <w:rsid w:val="58CC7859"/>
    <w:rsid w:val="59E7683C"/>
    <w:rsid w:val="5B194A01"/>
    <w:rsid w:val="5CBC5319"/>
    <w:rsid w:val="60DC58E8"/>
    <w:rsid w:val="627D7484"/>
    <w:rsid w:val="63983A61"/>
    <w:rsid w:val="657E7037"/>
    <w:rsid w:val="659103D7"/>
    <w:rsid w:val="67EB2210"/>
    <w:rsid w:val="69410747"/>
    <w:rsid w:val="6AB4610C"/>
    <w:rsid w:val="6D8E7B79"/>
    <w:rsid w:val="6F0F0B7F"/>
    <w:rsid w:val="717A3535"/>
    <w:rsid w:val="73A65C29"/>
    <w:rsid w:val="78976134"/>
    <w:rsid w:val="7A3B547A"/>
    <w:rsid w:val="7A7062C2"/>
    <w:rsid w:val="7E37325A"/>
    <w:rsid w:val="7EBA510D"/>
    <w:rsid w:val="7F292B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5"/>
    <w:qFormat/>
    <w:uiPriority w:val="1"/>
    <w:pPr>
      <w:autoSpaceDE w:val="0"/>
      <w:autoSpaceDN w:val="0"/>
      <w:jc w:val="left"/>
    </w:pPr>
    <w:rPr>
      <w:rFonts w:ascii="宋体" w:hAnsi="宋体" w:eastAsia="宋体" w:cs="宋体"/>
      <w:kern w:val="0"/>
      <w:lang w:val="zh-CN" w:bidi="zh-CN"/>
    </w:rPr>
  </w:style>
  <w:style w:type="paragraph" w:styleId="3">
    <w:name w:val="Balloon Text"/>
    <w:basedOn w:val="1"/>
    <w:link w:val="26"/>
    <w:semiHidden/>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9">
    <w:name w:val="Strong"/>
    <w:basedOn w:val="8"/>
    <w:qFormat/>
    <w:uiPriority w:val="0"/>
  </w:style>
  <w:style w:type="character" w:styleId="10">
    <w:name w:val="FollowedHyperlink"/>
    <w:basedOn w:val="8"/>
    <w:semiHidden/>
    <w:unhideWhenUsed/>
    <w:qFormat/>
    <w:uiPriority w:val="99"/>
    <w:rPr>
      <w:color w:val="333333"/>
      <w:sz w:val="19"/>
      <w:szCs w:val="19"/>
      <w:u w:val="none"/>
    </w:rPr>
  </w:style>
  <w:style w:type="character" w:styleId="11">
    <w:name w:val="Emphasis"/>
    <w:basedOn w:val="8"/>
    <w:qFormat/>
    <w:uiPriority w:val="20"/>
  </w:style>
  <w:style w:type="character" w:styleId="12">
    <w:name w:val="HTML Definition"/>
    <w:basedOn w:val="8"/>
    <w:semiHidden/>
    <w:unhideWhenUsed/>
    <w:qFormat/>
    <w:uiPriority w:val="99"/>
  </w:style>
  <w:style w:type="character" w:styleId="13">
    <w:name w:val="HTML Acronym"/>
    <w:basedOn w:val="8"/>
    <w:semiHidden/>
    <w:unhideWhenUsed/>
    <w:qFormat/>
    <w:uiPriority w:val="99"/>
  </w:style>
  <w:style w:type="character" w:styleId="14">
    <w:name w:val="HTML Variable"/>
    <w:basedOn w:val="8"/>
    <w:semiHidden/>
    <w:unhideWhenUsed/>
    <w:qFormat/>
    <w:uiPriority w:val="99"/>
  </w:style>
  <w:style w:type="character" w:styleId="15">
    <w:name w:val="Hyperlink"/>
    <w:basedOn w:val="8"/>
    <w:semiHidden/>
    <w:unhideWhenUsed/>
    <w:qFormat/>
    <w:uiPriority w:val="99"/>
    <w:rPr>
      <w:color w:val="333333"/>
      <w:sz w:val="19"/>
      <w:szCs w:val="19"/>
      <w:u w:val="none"/>
    </w:rPr>
  </w:style>
  <w:style w:type="character" w:styleId="16">
    <w:name w:val="HTML Code"/>
    <w:basedOn w:val="8"/>
    <w:semiHidden/>
    <w:unhideWhenUsed/>
    <w:qFormat/>
    <w:uiPriority w:val="99"/>
    <w:rPr>
      <w:rFonts w:ascii="Courier New" w:hAnsi="Courier New"/>
      <w:sz w:val="20"/>
    </w:rPr>
  </w:style>
  <w:style w:type="character" w:styleId="17">
    <w:name w:val="HTML Cite"/>
    <w:basedOn w:val="8"/>
    <w:semiHidden/>
    <w:unhideWhenUsed/>
    <w:qFormat/>
    <w:uiPriority w:val="99"/>
  </w:style>
  <w:style w:type="character" w:customStyle="1" w:styleId="18">
    <w:name w:val="apple-converted-space"/>
    <w:basedOn w:val="8"/>
    <w:qFormat/>
    <w:uiPriority w:val="0"/>
  </w:style>
  <w:style w:type="character" w:customStyle="1" w:styleId="19">
    <w:name w:val="页眉 字符"/>
    <w:basedOn w:val="8"/>
    <w:link w:val="5"/>
    <w:qFormat/>
    <w:uiPriority w:val="99"/>
    <w:rPr>
      <w:sz w:val="18"/>
      <w:szCs w:val="18"/>
    </w:rPr>
  </w:style>
  <w:style w:type="character" w:customStyle="1" w:styleId="20">
    <w:name w:val="页脚 字符"/>
    <w:basedOn w:val="8"/>
    <w:link w:val="4"/>
    <w:qFormat/>
    <w:uiPriority w:val="99"/>
    <w:rPr>
      <w:sz w:val="18"/>
      <w:szCs w:val="18"/>
    </w:rPr>
  </w:style>
  <w:style w:type="character" w:customStyle="1" w:styleId="21">
    <w:name w:val="item-name"/>
    <w:basedOn w:val="8"/>
    <w:qFormat/>
    <w:uiPriority w:val="0"/>
  </w:style>
  <w:style w:type="character" w:customStyle="1" w:styleId="22">
    <w:name w:val="item-name1"/>
    <w:basedOn w:val="8"/>
    <w:qFormat/>
    <w:uiPriority w:val="0"/>
  </w:style>
  <w:style w:type="character" w:customStyle="1" w:styleId="23">
    <w:name w:val="pubdate-month"/>
    <w:basedOn w:val="8"/>
    <w:qFormat/>
    <w:uiPriority w:val="0"/>
    <w:rPr>
      <w:color w:val="FFFFFF"/>
      <w:sz w:val="24"/>
      <w:szCs w:val="24"/>
      <w:shd w:val="clear" w:color="auto" w:fill="CC0000"/>
    </w:rPr>
  </w:style>
  <w:style w:type="character" w:customStyle="1" w:styleId="24">
    <w:name w:val="pubdate-day"/>
    <w:basedOn w:val="8"/>
    <w:qFormat/>
    <w:uiPriority w:val="0"/>
    <w:rPr>
      <w:shd w:val="clear" w:color="auto" w:fill="F2F2F2"/>
    </w:rPr>
  </w:style>
  <w:style w:type="character" w:customStyle="1" w:styleId="25">
    <w:name w:val="正文文本 字符"/>
    <w:basedOn w:val="8"/>
    <w:link w:val="2"/>
    <w:qFormat/>
    <w:uiPriority w:val="1"/>
    <w:rPr>
      <w:rFonts w:ascii="宋体" w:hAnsi="宋体" w:cs="宋体"/>
      <w:sz w:val="24"/>
      <w:szCs w:val="24"/>
      <w:lang w:val="zh-CN" w:bidi="zh-CN"/>
    </w:rPr>
  </w:style>
  <w:style w:type="character" w:customStyle="1" w:styleId="26">
    <w:name w:val="批注框文本 字符"/>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1009</Words>
  <Characters>5757</Characters>
  <Lines>47</Lines>
  <Paragraphs>13</Paragraphs>
  <TotalTime>80</TotalTime>
  <ScaleCrop>false</ScaleCrop>
  <LinksUpToDate>false</LinksUpToDate>
  <CharactersWithSpaces>6753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2019-03-26T06:12:00Z</dcterms:created>
  <dc:creator>Microsoft Office 用户</dc:creator>
  <cp:lastModifiedBy>Vicky</cp:lastModifiedBy>
  <cp:lastPrinted>2019-06-10T06:15:00Z</cp:lastPrinted>
  <dcterms:modified xsi:type="dcterms:W3CDTF">2019-10-10T02:45:32Z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